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987B8">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color w:val="auto"/>
          <w:sz w:val="36"/>
          <w:szCs w:val="36"/>
          <w:highlight w:val="none"/>
          <w:lang w:val="en-US" w:eastAsia="zh-CN"/>
        </w:rPr>
      </w:pPr>
      <w:r>
        <w:rPr>
          <w:rFonts w:hint="eastAsia" w:ascii="方正小标宋简体" w:hAnsi="方正小标宋简体" w:eastAsia="方正小标宋简体" w:cs="方正小标宋简体"/>
          <w:sz w:val="32"/>
          <w:szCs w:val="32"/>
          <w:lang w:val="en-US" w:eastAsia="zh-CN"/>
        </w:rPr>
        <w:t>上海外国语大学虹口生活区</w:t>
      </w:r>
      <w:r>
        <w:rPr>
          <w:rFonts w:hint="eastAsia" w:ascii="方正小标宋简体" w:hAnsi="方正小标宋简体" w:eastAsia="方正小标宋简体" w:cs="方正小标宋简体"/>
          <w:sz w:val="32"/>
          <w:szCs w:val="32"/>
        </w:rPr>
        <w:t>物探测量服务</w:t>
      </w:r>
      <w:r>
        <w:rPr>
          <w:rFonts w:hint="eastAsia" w:ascii="方正小标宋简体" w:hAnsi="方正小标宋简体" w:eastAsia="方正小标宋简体" w:cs="方正小标宋简体"/>
          <w:sz w:val="32"/>
          <w:szCs w:val="32"/>
          <w:lang w:val="en-US" w:eastAsia="zh-CN"/>
        </w:rPr>
        <w:t>比选采购需求书</w:t>
      </w:r>
    </w:p>
    <w:p w14:paraId="37E18E27">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color w:val="auto"/>
          <w:sz w:val="28"/>
          <w:szCs w:val="28"/>
          <w:highlight w:val="none"/>
          <w:lang w:val="en-US" w:eastAsia="zh-CN"/>
        </w:rPr>
      </w:pPr>
    </w:p>
    <w:p w14:paraId="79DF59F2">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物探测量技术要求</w:t>
      </w:r>
    </w:p>
    <w:p w14:paraId="1489F8B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（一）探测范围及重点</w:t>
      </w:r>
    </w:p>
    <w:p w14:paraId="182A48D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1、探测范围</w:t>
      </w:r>
    </w:p>
    <w:p w14:paraId="153678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highlight w:val="none"/>
          <w:lang w:eastAsia="zh-CN"/>
        </w:rPr>
        <w:t>本工程位于</w:t>
      </w:r>
      <w:r>
        <w:rPr>
          <w:rFonts w:hint="eastAsia" w:ascii="仿宋" w:hAnsi="仿宋" w:eastAsia="仿宋" w:cs="仿宋"/>
          <w:sz w:val="24"/>
          <w:szCs w:val="24"/>
          <w:highlight w:val="none"/>
        </w:rPr>
        <w:t>上海外国语大学虹口校区（生活区）</w:t>
      </w:r>
      <w:r>
        <w:rPr>
          <w:rFonts w:hint="eastAsia" w:ascii="仿宋" w:hAnsi="仿宋" w:eastAsia="仿宋" w:cs="仿宋"/>
          <w:sz w:val="24"/>
          <w:szCs w:val="24"/>
          <w:highlight w:val="none"/>
          <w:lang w:eastAsia="zh-CN"/>
        </w:rPr>
        <w:t>，对</w:t>
      </w:r>
      <w:r>
        <w:rPr>
          <w:rFonts w:hint="eastAsia" w:ascii="仿宋" w:hAnsi="仿宋" w:eastAsia="仿宋" w:cs="仿宋"/>
          <w:b w:val="0"/>
          <w:bCs w:val="0"/>
          <w:color w:val="000000" w:themeColor="text1"/>
          <w:spacing w:val="8"/>
          <w:sz w:val="24"/>
          <w:szCs w:val="24"/>
          <w:highlight w:val="none"/>
          <w:lang w:eastAsia="zh-CN"/>
          <w14:textFill>
            <w14:solidFill>
              <w14:schemeClr w14:val="tx1"/>
            </w14:solidFill>
          </w14:textFill>
        </w:rPr>
        <w:t>工程</w:t>
      </w:r>
      <w:r>
        <w:rPr>
          <w:rFonts w:hint="eastAsia" w:ascii="仿宋" w:hAnsi="仿宋" w:eastAsia="仿宋" w:cs="仿宋"/>
          <w:b w:val="0"/>
          <w:bCs w:val="0"/>
          <w:sz w:val="24"/>
          <w:szCs w:val="24"/>
          <w:highlight w:val="none"/>
        </w:rPr>
        <w:t>范围内</w:t>
      </w:r>
      <w:r>
        <w:rPr>
          <w:rFonts w:hint="eastAsia" w:ascii="仿宋" w:hAnsi="仿宋" w:eastAsia="仿宋" w:cs="仿宋"/>
          <w:sz w:val="24"/>
          <w:szCs w:val="24"/>
          <w:highlight w:val="none"/>
        </w:rPr>
        <w:t>各类管线进行调查探测</w:t>
      </w:r>
      <w:r>
        <w:rPr>
          <w:rFonts w:hint="eastAsia" w:ascii="仿宋" w:hAnsi="仿宋" w:eastAsia="仿宋" w:cs="仿宋"/>
          <w:sz w:val="24"/>
          <w:szCs w:val="24"/>
        </w:rPr>
        <w:t>。</w:t>
      </w:r>
    </w:p>
    <w:p w14:paraId="0C0AF62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2、探测内容</w:t>
      </w:r>
    </w:p>
    <w:p w14:paraId="77FA5C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探测</w:t>
      </w:r>
      <w:r>
        <w:rPr>
          <w:rFonts w:hint="eastAsia" w:ascii="仿宋" w:hAnsi="仿宋" w:eastAsia="仿宋" w:cs="仿宋"/>
          <w:sz w:val="24"/>
          <w:szCs w:val="24"/>
          <w:lang w:eastAsia="zh-CN"/>
        </w:rPr>
        <w:t>范围内的</w:t>
      </w:r>
      <w:r>
        <w:rPr>
          <w:rFonts w:hint="eastAsia" w:ascii="仿宋" w:hAnsi="仿宋" w:eastAsia="仿宋" w:cs="仿宋"/>
          <w:sz w:val="24"/>
          <w:szCs w:val="24"/>
        </w:rPr>
        <w:t>地下管线，包括</w:t>
      </w:r>
      <w:r>
        <w:rPr>
          <w:rFonts w:hint="eastAsia" w:ascii="仿宋" w:hAnsi="仿宋" w:eastAsia="仿宋" w:cs="仿宋"/>
          <w:sz w:val="24"/>
          <w:szCs w:val="24"/>
          <w:lang w:val="en-US" w:eastAsia="zh-CN"/>
        </w:rPr>
        <w:t>但不限于</w:t>
      </w:r>
      <w:r>
        <w:rPr>
          <w:rFonts w:hint="eastAsia" w:ascii="仿宋" w:hAnsi="仿宋" w:eastAsia="仿宋" w:cs="仿宋"/>
          <w:sz w:val="24"/>
          <w:szCs w:val="24"/>
        </w:rPr>
        <w:t>上水、雨水</w:t>
      </w:r>
      <w:r>
        <w:rPr>
          <w:rFonts w:hint="eastAsia" w:ascii="仿宋" w:hAnsi="仿宋" w:eastAsia="仿宋" w:cs="仿宋"/>
          <w:sz w:val="24"/>
          <w:szCs w:val="24"/>
          <w:lang w:eastAsia="zh-CN"/>
        </w:rPr>
        <w:t>、污水</w:t>
      </w:r>
      <w:r>
        <w:rPr>
          <w:rFonts w:hint="eastAsia" w:ascii="仿宋" w:hAnsi="仿宋" w:eastAsia="仿宋" w:cs="仿宋"/>
          <w:sz w:val="24"/>
          <w:szCs w:val="24"/>
        </w:rPr>
        <w:t>、燃气、电力、电信、热力、工业管道等市政和公用管线。</w:t>
      </w:r>
    </w:p>
    <w:p w14:paraId="6A990AA0">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rPr>
        <w:t>3、雨、污水管</w:t>
      </w:r>
      <w:r>
        <w:rPr>
          <w:rFonts w:hint="eastAsia" w:ascii="仿宋" w:hAnsi="仿宋" w:eastAsia="仿宋" w:cs="仿宋"/>
          <w:color w:val="0000FF"/>
          <w:sz w:val="24"/>
          <w:szCs w:val="24"/>
          <w:lang w:eastAsia="zh-CN"/>
        </w:rPr>
        <w:t>测量</w:t>
      </w:r>
      <w:r>
        <w:rPr>
          <w:rFonts w:hint="eastAsia" w:ascii="仿宋" w:hAnsi="仿宋" w:eastAsia="仿宋" w:cs="仿宋"/>
          <w:color w:val="0000FF"/>
          <w:sz w:val="24"/>
          <w:szCs w:val="24"/>
        </w:rPr>
        <w:t>具体内容</w:t>
      </w:r>
    </w:p>
    <w:p w14:paraId="09746EA9">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lang w:eastAsia="zh-CN"/>
        </w:rPr>
        <w:t>测量</w:t>
      </w:r>
      <w:r>
        <w:rPr>
          <w:rFonts w:hint="eastAsia" w:ascii="仿宋" w:hAnsi="仿宋" w:eastAsia="仿宋" w:cs="仿宋"/>
          <w:color w:val="0000FF"/>
          <w:sz w:val="24"/>
          <w:szCs w:val="24"/>
        </w:rPr>
        <w:t>范围内雨、污水管道，需对管道的管径、管位、管内底绝对标高、走向、检查井位置进行探测。</w:t>
      </w:r>
    </w:p>
    <w:p w14:paraId="469B4C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（二）探测技术要求</w:t>
      </w:r>
    </w:p>
    <w:p w14:paraId="0B89554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1、地下管线探测工作应符合现行《城市地下管线探测技术规程》（CJJ61-20</w:t>
      </w:r>
      <w:r>
        <w:rPr>
          <w:rFonts w:hint="eastAsia" w:ascii="仿宋" w:hAnsi="仿宋" w:eastAsia="仿宋" w:cs="仿宋"/>
          <w:sz w:val="24"/>
          <w:szCs w:val="24"/>
          <w:lang w:val="en-US" w:eastAsia="zh-CN"/>
        </w:rPr>
        <w:t>17</w:t>
      </w:r>
      <w:r>
        <w:rPr>
          <w:rFonts w:hint="eastAsia" w:ascii="仿宋" w:hAnsi="仿宋" w:eastAsia="仿宋" w:cs="仿宋"/>
          <w:sz w:val="24"/>
          <w:szCs w:val="24"/>
        </w:rPr>
        <w:t>）、《城市测量规范》（CJJ/T 8-2011）及上海市《地下管线测绘规范》（DG/TJ08-85-2010）中的相关规定。同时需满足建设方提出的相关要求。</w:t>
      </w:r>
    </w:p>
    <w:p w14:paraId="7B7407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2、探测单位应向有关单位收集工作范围内管线资料，了解管线的类别、走向及其相互关系等信息。</w:t>
      </w:r>
    </w:p>
    <w:p w14:paraId="2FD7DDD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、应查明地下管线的种类、平面位置、埋深、管径或根数、材质，并编绘地下综合管线图，按需要测绘横断面图。</w:t>
      </w:r>
    </w:p>
    <w:p w14:paraId="588C4D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、对所有地下管线探测的管线点（特征点及附属设施中心）进行测量，地下管线测量应采用解析法，按数字化成图要求，以电子全站仪观测。</w:t>
      </w:r>
    </w:p>
    <w:p w14:paraId="715280B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、如果雨水、污水井是沉井、SMW工作井、顶管接收井和工作井，必须同时测出其下部大井和上部小井范围，并标出平面和立面相对位置。</w:t>
      </w:r>
    </w:p>
    <w:p w14:paraId="5D02ABB5">
      <w:pPr>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color w:val="0000FF"/>
          <w:sz w:val="24"/>
          <w:szCs w:val="24"/>
          <w:lang w:val="en-US" w:eastAsia="zh-CN"/>
        </w:rPr>
        <w:t>6、</w:t>
      </w:r>
      <w:r>
        <w:rPr>
          <w:rFonts w:hint="eastAsia" w:ascii="仿宋" w:hAnsi="仿宋" w:eastAsia="仿宋" w:cs="仿宋"/>
          <w:color w:val="0000FF"/>
          <w:sz w:val="24"/>
          <w:szCs w:val="24"/>
          <w:lang w:eastAsia="zh-CN"/>
        </w:rPr>
        <w:t>雨、污水编号参照</w:t>
      </w:r>
      <w:r>
        <w:rPr>
          <w:rFonts w:hint="eastAsia" w:ascii="仿宋" w:hAnsi="仿宋" w:eastAsia="仿宋" w:cs="仿宋"/>
          <w:color w:val="0000FF"/>
          <w:sz w:val="24"/>
          <w:szCs w:val="24"/>
          <w:lang w:val="en-US" w:eastAsia="zh-CN"/>
        </w:rPr>
        <w:t>CCTV资料进行标记，要求与CCTV示意图能够对应。如遇现场与CCTV 调查不相符时，及时与CCTV单位联系进行排查。</w:t>
      </w:r>
    </w:p>
    <w:p w14:paraId="78838A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、将探测成果编绘成数字化成果图，最终提供彩色成果图和Excel、文本等电子文档。绘制CAD图纸时应细分图层，管线、节点、编号、高程等均应区分图层。</w:t>
      </w:r>
    </w:p>
    <w:p w14:paraId="3372AD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、对探测成果进行综合说明，对可能影响设计和施工的各种管线作出评价，提出合理的建议以供参考。</w:t>
      </w:r>
    </w:p>
    <w:p w14:paraId="6F424E3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（三）探测精度要求</w:t>
      </w:r>
    </w:p>
    <w:p w14:paraId="255968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1、地下管线水平位置限差δts≤0.10h</w:t>
      </w:r>
    </w:p>
    <w:p w14:paraId="03BC16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地下管线中心埋深限差δth≤0.15h</w:t>
      </w:r>
    </w:p>
    <w:p w14:paraId="3781CB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(h为地下管线的中心埋深，以厘米计，若h＜100cm，则取h＝100cm)</w:t>
      </w:r>
    </w:p>
    <w:p w14:paraId="770F3D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2、地下管线点的测量精度：</w:t>
      </w:r>
    </w:p>
    <w:p w14:paraId="012452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平面位置测量中误差不得大于±5cm(相对于邻近控制点)</w:t>
      </w:r>
    </w:p>
    <w:p w14:paraId="7DF751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高程测量中误差不得大于±3cm (相对于邻近控制点)。</w:t>
      </w:r>
    </w:p>
    <w:p w14:paraId="4739233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（四）提交成果</w:t>
      </w:r>
    </w:p>
    <w:p w14:paraId="7993179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1、管线探测工作报告</w:t>
      </w:r>
    </w:p>
    <w:p w14:paraId="75985A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2、综合管线成果表(包括管线性质、直径、管顶埋深、管径或根数、材质等)</w:t>
      </w:r>
    </w:p>
    <w:p w14:paraId="699906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3、综合管线成果图</w:t>
      </w:r>
    </w:p>
    <w:p w14:paraId="37F1D68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（五）服务要求：</w:t>
      </w:r>
    </w:p>
    <w:p w14:paraId="70EFC8AD">
      <w:pPr>
        <w:spacing w:line="360" w:lineRule="auto"/>
        <w:ind w:firstLine="480"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sz w:val="24"/>
          <w:szCs w:val="24"/>
        </w:rPr>
        <w:t>1、此管线探测委托要求仅为技术方面要求，具体实施应以业主委托为准。</w:t>
      </w:r>
    </w:p>
    <w:p w14:paraId="458FEA28">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color w:val="auto"/>
          <w:sz w:val="28"/>
          <w:szCs w:val="28"/>
          <w:highlight w:val="none"/>
          <w:lang w:val="en-US" w:eastAsia="zh-CN"/>
        </w:rPr>
      </w:pPr>
    </w:p>
    <w:p w14:paraId="46930ED5">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2794407B">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4738C6BA">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53DF81CA">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6B2B5DC2">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64E4C659">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7953A729">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4E6CD4B6">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1536E54C">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pPr>
    </w:p>
    <w:p w14:paraId="5674C8E7">
      <w:pPr>
        <w:keepNext w:val="0"/>
        <w:keepLines w:val="0"/>
        <w:pageBreakBefore w:val="0"/>
        <w:kinsoku/>
        <w:wordWrap/>
        <w:overflowPunct/>
        <w:topLinePunct w:val="0"/>
        <w:autoSpaceDE/>
        <w:autoSpaceDN/>
        <w:bidi w:val="0"/>
        <w:adjustRightInd/>
        <w:snapToGrid/>
        <w:spacing w:line="480" w:lineRule="auto"/>
        <w:textAlignment w:val="auto"/>
        <w:rPr>
          <w:rFonts w:hint="default" w:ascii="黑体" w:hAnsi="黑体" w:eastAsia="黑体" w:cs="黑体"/>
          <w:b/>
          <w:color w:val="auto"/>
          <w:sz w:val="28"/>
          <w:szCs w:val="28"/>
          <w:highlight w:val="none"/>
          <w:lang w:val="en-US" w:eastAsia="zh-CN"/>
        </w:rPr>
        <w:sectPr>
          <w:pgSz w:w="11906" w:h="16838"/>
          <w:pgMar w:top="1440" w:right="1417" w:bottom="1440" w:left="1701" w:header="851" w:footer="992" w:gutter="0"/>
          <w:cols w:space="425" w:num="1"/>
          <w:docGrid w:type="lines" w:linePitch="312" w:charSpace="0"/>
        </w:sectPr>
      </w:pPr>
    </w:p>
    <w:p w14:paraId="516D467F">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评分标准</w:t>
      </w:r>
    </w:p>
    <w:tbl>
      <w:tblPr>
        <w:tblStyle w:val="9"/>
        <w:tblpPr w:leftFromText="180" w:rightFromText="180" w:vertAnchor="text" w:horzAnchor="page" w:tblpX="1783" w:tblpY="113"/>
        <w:tblOverlap w:val="never"/>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192"/>
        <w:gridCol w:w="833"/>
        <w:gridCol w:w="720"/>
        <w:gridCol w:w="4906"/>
        <w:gridCol w:w="720"/>
      </w:tblGrid>
      <w:tr w14:paraId="45B1D80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2B24CB34">
            <w:pPr>
              <w:spacing w:before="120" w:after="120" w:line="288" w:lineRule="auto"/>
              <w:ind w:left="0"/>
              <w:jc w:val="left"/>
              <w:rPr>
                <w:b w:val="0"/>
                <w:color w:val="000000"/>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36B50BF">
            <w:pPr>
              <w:spacing w:before="120" w:after="120" w:line="288" w:lineRule="auto"/>
              <w:ind w:left="0"/>
              <w:jc w:val="left"/>
              <w:rPr>
                <w:b w:val="0"/>
                <w:color w:val="000000"/>
              </w:rPr>
            </w:pPr>
            <w:r>
              <w:rPr>
                <w:rFonts w:ascii="Arial" w:hAnsi="Arial" w:eastAsia="等线" w:cs="Arial"/>
                <w:b w:val="0"/>
                <w:color w:val="000000"/>
                <w:sz w:val="22"/>
              </w:rPr>
              <w:t>评审因素</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4E351CD">
            <w:pPr>
              <w:spacing w:before="120" w:after="120" w:line="288" w:lineRule="auto"/>
              <w:ind w:left="0"/>
              <w:jc w:val="left"/>
              <w:rPr>
                <w:b w:val="0"/>
                <w:color w:val="000000"/>
              </w:rPr>
            </w:pPr>
            <w:r>
              <w:rPr>
                <w:rFonts w:ascii="Arial" w:hAnsi="Arial" w:eastAsia="等线" w:cs="Arial"/>
                <w:b w:val="0"/>
                <w:color w:val="000000"/>
                <w:sz w:val="22"/>
              </w:rPr>
              <w:t>分值区间</w:t>
            </w:r>
          </w:p>
        </w:tc>
        <w:tc>
          <w:tcPr>
            <w:tcW w:w="490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0D791E9">
            <w:pPr>
              <w:spacing w:before="120" w:after="120" w:line="288" w:lineRule="auto"/>
              <w:ind w:left="0"/>
              <w:jc w:val="left"/>
              <w:rPr>
                <w:b w:val="0"/>
                <w:color w:val="000000"/>
              </w:rPr>
            </w:pPr>
            <w:r>
              <w:rPr>
                <w:rFonts w:ascii="Arial" w:hAnsi="Arial" w:eastAsia="等线" w:cs="Arial"/>
                <w:b w:val="0"/>
                <w:color w:val="000000"/>
                <w:sz w:val="22"/>
              </w:rPr>
              <w:t>细化评分细则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FBE9420">
            <w:pPr>
              <w:spacing w:before="120" w:after="120" w:line="288" w:lineRule="auto"/>
              <w:ind w:left="0"/>
              <w:jc w:val="left"/>
              <w:rPr>
                <w:rFonts w:hint="eastAsia" w:eastAsia="宋体"/>
                <w:b w:val="0"/>
                <w:color w:val="000000"/>
                <w:lang w:eastAsia="zh-CN"/>
              </w:rPr>
            </w:pPr>
          </w:p>
        </w:tc>
      </w:tr>
      <w:tr w14:paraId="6B8A61F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vMerge w:val="restart"/>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FFDA7C1">
            <w:pPr>
              <w:spacing w:before="120" w:after="120" w:line="288" w:lineRule="auto"/>
              <w:ind w:left="0"/>
              <w:jc w:val="left"/>
              <w:rPr>
                <w:b w:val="0"/>
                <w:color w:val="000000"/>
              </w:rPr>
            </w:pPr>
            <w:r>
              <w:rPr>
                <w:rFonts w:ascii="Arial" w:hAnsi="Arial" w:eastAsia="等线" w:cs="Arial"/>
                <w:b w:val="0"/>
                <w:color w:val="000000"/>
                <w:sz w:val="22"/>
              </w:rPr>
              <w:t>技术部分（70分）</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5D0DF19">
            <w:pPr>
              <w:spacing w:before="120" w:after="120" w:line="288" w:lineRule="auto"/>
              <w:ind w:left="0"/>
              <w:jc w:val="left"/>
              <w:rPr>
                <w:b w:val="0"/>
                <w:color w:val="000000"/>
              </w:rPr>
            </w:pPr>
            <w:r>
              <w:rPr>
                <w:rFonts w:ascii="Arial" w:hAnsi="Arial" w:eastAsia="等线" w:cs="Arial"/>
                <w:b w:val="0"/>
                <w:color w:val="000000"/>
                <w:sz w:val="22"/>
              </w:rPr>
              <w:t>服务方案</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C24761E">
            <w:pPr>
              <w:spacing w:before="120" w:after="120" w:line="288" w:lineRule="auto"/>
              <w:ind w:left="0"/>
              <w:jc w:val="left"/>
              <w:rPr>
                <w:b w:val="0"/>
                <w:color w:val="000000"/>
              </w:rPr>
            </w:pPr>
            <w:r>
              <w:rPr>
                <w:rFonts w:ascii="Arial" w:hAnsi="Arial" w:eastAsia="等线" w:cs="Arial"/>
                <w:b w:val="0"/>
                <w:color w:val="000000"/>
                <w:sz w:val="22"/>
              </w:rPr>
              <w:t>15-30分</w:t>
            </w:r>
          </w:p>
        </w:tc>
        <w:tc>
          <w:tcPr>
            <w:tcW w:w="490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333AE79">
            <w:pPr>
              <w:keepNext w:val="0"/>
              <w:keepLines w:val="0"/>
              <w:widowControl/>
              <w:suppressLineNumbers w:val="0"/>
              <w:jc w:val="left"/>
              <w:rPr>
                <w:b w:val="0"/>
                <w:color w:val="000000"/>
              </w:rPr>
            </w:pPr>
            <w:r>
              <w:rPr>
                <w:rFonts w:ascii="Arial" w:hAnsi="Arial" w:eastAsia="等线" w:cs="Arial"/>
                <w:b w:val="0"/>
                <w:color w:val="000000"/>
                <w:sz w:val="22"/>
              </w:rPr>
              <w:t>服务目标清晰明确，方案逻辑严谨、全面可行，针对项目重难点的解决措施，贴合项目实际需求</w:t>
            </w:r>
            <w:r>
              <w:rPr>
                <w:rFonts w:hint="eastAsia" w:ascii="Arial" w:hAnsi="Arial" w:eastAsia="等线" w:cs="Arial"/>
                <w:b w:val="0"/>
                <w:color w:val="000000"/>
                <w:sz w:val="22"/>
                <w:lang w:val="en-US" w:eastAsia="zh-CN"/>
              </w:rPr>
              <w:t>程度</w:t>
            </w:r>
            <w:r>
              <w:rPr>
                <w:rFonts w:ascii="Arial" w:hAnsi="Arial" w:eastAsia="等线" w:cs="Arial"/>
                <w:b w:val="0"/>
                <w:color w:val="000000"/>
                <w:sz w:val="22"/>
              </w:rPr>
              <w:t>；</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D6800A">
            <w:pPr>
              <w:spacing w:before="120" w:after="120" w:line="288" w:lineRule="auto"/>
              <w:ind w:left="0"/>
              <w:jc w:val="left"/>
              <w:rPr>
                <w:b w:val="0"/>
                <w:color w:val="000000"/>
              </w:rPr>
            </w:pPr>
          </w:p>
        </w:tc>
      </w:tr>
      <w:tr w14:paraId="2E6378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37DA9FD">
            <w:pPr>
              <w:spacing w:before="120" w:after="120" w:line="288" w:lineRule="auto"/>
              <w:ind w:left="0"/>
              <w:jc w:val="left"/>
              <w:rPr>
                <w:b w:val="0"/>
                <w:color w:val="000000"/>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981884A">
            <w:pPr>
              <w:spacing w:before="120" w:after="120" w:line="288" w:lineRule="auto"/>
              <w:ind w:left="0"/>
              <w:jc w:val="left"/>
              <w:rPr>
                <w:b w:val="0"/>
                <w:color w:val="000000"/>
              </w:rPr>
            </w:pPr>
            <w:r>
              <w:rPr>
                <w:rFonts w:ascii="Arial" w:hAnsi="Arial" w:eastAsia="等线" w:cs="Arial"/>
                <w:b w:val="0"/>
                <w:color w:val="000000"/>
                <w:sz w:val="22"/>
              </w:rPr>
              <w:t>服务质量的保证措施</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A0CFBA1">
            <w:pPr>
              <w:spacing w:before="120" w:after="120" w:line="288" w:lineRule="auto"/>
              <w:ind w:left="0"/>
              <w:jc w:val="left"/>
              <w:rPr>
                <w:b w:val="0"/>
                <w:color w:val="000000"/>
              </w:rPr>
            </w:pPr>
            <w:r>
              <w:rPr>
                <w:rFonts w:ascii="Arial" w:hAnsi="Arial" w:eastAsia="等线" w:cs="Arial"/>
                <w:b w:val="0"/>
                <w:color w:val="000000"/>
                <w:sz w:val="22"/>
              </w:rPr>
              <w:t>5-15分</w:t>
            </w:r>
          </w:p>
        </w:tc>
        <w:tc>
          <w:tcPr>
            <w:tcW w:w="490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FB7F8AB">
            <w:pPr>
              <w:spacing w:before="120" w:after="120" w:line="288" w:lineRule="auto"/>
              <w:ind w:left="0"/>
              <w:jc w:val="left"/>
              <w:rPr>
                <w:b w:val="0"/>
                <w:color w:val="000000"/>
              </w:rPr>
            </w:pPr>
            <w:r>
              <w:rPr>
                <w:rFonts w:hint="eastAsia" w:ascii="Arial" w:hAnsi="Arial" w:eastAsia="等线" w:cs="Arial"/>
                <w:b w:val="0"/>
                <w:color w:val="000000"/>
                <w:sz w:val="22"/>
              </w:rPr>
              <w:t>保证措施的全面性、可操作性，是否涵盖服务全流程各关键环节，是否有完善的质量监督、检查、整改及追溯机制，质量目标和责任分工</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66EE4E5">
            <w:pPr>
              <w:spacing w:before="120" w:after="120" w:line="288" w:lineRule="auto"/>
              <w:ind w:left="0"/>
              <w:jc w:val="left"/>
              <w:rPr>
                <w:b w:val="0"/>
                <w:color w:val="000000"/>
              </w:rPr>
            </w:pPr>
          </w:p>
        </w:tc>
      </w:tr>
      <w:tr w14:paraId="6EFAA03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7B60092">
            <w:pPr>
              <w:spacing w:before="120" w:after="120" w:line="288" w:lineRule="auto"/>
              <w:ind w:left="0"/>
              <w:jc w:val="left"/>
              <w:rPr>
                <w:b w:val="0"/>
                <w:color w:val="000000"/>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567ADC0">
            <w:pPr>
              <w:spacing w:before="120" w:after="120" w:line="288" w:lineRule="auto"/>
              <w:ind w:left="0"/>
              <w:jc w:val="left"/>
              <w:rPr>
                <w:b w:val="0"/>
                <w:color w:val="000000"/>
              </w:rPr>
            </w:pPr>
            <w:r>
              <w:rPr>
                <w:rFonts w:ascii="Arial" w:hAnsi="Arial" w:eastAsia="等线" w:cs="Arial"/>
                <w:b w:val="0"/>
                <w:color w:val="000000"/>
                <w:sz w:val="22"/>
              </w:rPr>
              <w:t>项目负责人及主要人员配置情况</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332307F">
            <w:pPr>
              <w:spacing w:before="120" w:after="120" w:line="288" w:lineRule="auto"/>
              <w:ind w:left="0"/>
              <w:jc w:val="left"/>
              <w:rPr>
                <w:b w:val="0"/>
                <w:color w:val="000000"/>
              </w:rPr>
            </w:pPr>
            <w:r>
              <w:rPr>
                <w:rFonts w:ascii="Arial" w:hAnsi="Arial" w:eastAsia="等线" w:cs="Arial"/>
                <w:b w:val="0"/>
                <w:color w:val="000000"/>
                <w:sz w:val="22"/>
              </w:rPr>
              <w:t>5-15分</w:t>
            </w:r>
          </w:p>
        </w:tc>
        <w:tc>
          <w:tcPr>
            <w:tcW w:w="490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B5B7C8C">
            <w:pPr>
              <w:spacing w:before="120" w:after="120" w:line="288" w:lineRule="auto"/>
              <w:ind w:left="0"/>
              <w:jc w:val="left"/>
              <w:rPr>
                <w:b w:val="0"/>
                <w:color w:val="000000"/>
              </w:rPr>
            </w:pPr>
            <w:r>
              <w:rPr>
                <w:rFonts w:hint="eastAsia" w:ascii="Arial" w:hAnsi="Arial" w:eastAsia="等线" w:cs="Arial"/>
                <w:b w:val="0"/>
                <w:color w:val="000000"/>
                <w:sz w:val="22"/>
              </w:rPr>
              <w:t>项目负责人同类项目管理经验，资质等级，主要人员配置、专业匹配度，人员资质齐全及团队分合理、协作能力强；</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06F5F84">
            <w:pPr>
              <w:spacing w:before="120" w:after="120" w:line="288" w:lineRule="auto"/>
              <w:ind w:left="0"/>
              <w:jc w:val="left"/>
              <w:rPr>
                <w:b w:val="0"/>
                <w:color w:val="000000"/>
              </w:rPr>
            </w:pPr>
          </w:p>
        </w:tc>
      </w:tr>
      <w:tr w14:paraId="7096959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6606F0E">
            <w:pPr>
              <w:spacing w:before="120" w:after="120" w:line="288" w:lineRule="auto"/>
              <w:ind w:left="0"/>
              <w:jc w:val="left"/>
              <w:rPr>
                <w:b w:val="0"/>
                <w:color w:val="000000"/>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01544F4">
            <w:pPr>
              <w:spacing w:before="120" w:after="120" w:line="288" w:lineRule="auto"/>
              <w:ind w:left="0"/>
              <w:jc w:val="left"/>
              <w:rPr>
                <w:b w:val="0"/>
                <w:color w:val="000000"/>
              </w:rPr>
            </w:pPr>
            <w:r>
              <w:rPr>
                <w:rFonts w:ascii="Arial" w:hAnsi="Arial" w:eastAsia="等线" w:cs="Arial"/>
                <w:b w:val="0"/>
                <w:color w:val="000000"/>
                <w:sz w:val="22"/>
              </w:rPr>
              <w:t>主要探测仪器设备配置情况</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C679180">
            <w:pPr>
              <w:spacing w:before="120" w:after="120" w:line="288" w:lineRule="auto"/>
              <w:ind w:left="0"/>
              <w:jc w:val="left"/>
              <w:rPr>
                <w:b w:val="0"/>
                <w:color w:val="000000"/>
              </w:rPr>
            </w:pPr>
            <w:r>
              <w:rPr>
                <w:rFonts w:ascii="Arial" w:hAnsi="Arial" w:eastAsia="等线" w:cs="Arial"/>
                <w:b w:val="0"/>
                <w:color w:val="000000"/>
                <w:sz w:val="22"/>
              </w:rPr>
              <w:t>5-10分</w:t>
            </w:r>
          </w:p>
        </w:tc>
        <w:tc>
          <w:tcPr>
            <w:tcW w:w="490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3B4C3F3">
            <w:pPr>
              <w:spacing w:before="120" w:after="120" w:line="288" w:lineRule="auto"/>
              <w:ind w:left="0"/>
              <w:jc w:val="left"/>
              <w:rPr>
                <w:b w:val="0"/>
                <w:color w:val="000000"/>
              </w:rPr>
            </w:pPr>
            <w:r>
              <w:rPr>
                <w:rFonts w:ascii="Arial" w:hAnsi="Arial" w:eastAsia="等线" w:cs="Arial"/>
                <w:b w:val="0"/>
                <w:color w:val="000000"/>
                <w:sz w:val="22"/>
              </w:rPr>
              <w:t>主要探测仪器设备配置</w:t>
            </w:r>
            <w:r>
              <w:rPr>
                <w:rFonts w:hint="eastAsia" w:ascii="Arial" w:hAnsi="Arial" w:eastAsia="等线" w:cs="Arial"/>
                <w:b w:val="0"/>
                <w:color w:val="000000"/>
                <w:sz w:val="22"/>
                <w:lang w:eastAsia="zh-CN"/>
              </w:rPr>
              <w:t>，</w:t>
            </w:r>
            <w:r>
              <w:rPr>
                <w:rFonts w:ascii="Arial" w:hAnsi="Arial" w:eastAsia="等线" w:cs="Arial"/>
                <w:b w:val="0"/>
                <w:color w:val="000000"/>
                <w:sz w:val="22"/>
              </w:rPr>
              <w:t>满足项目探测精度和效率要求，设备权属清晰、维护良好，有完善的设备使用和管理方案；</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85424F8">
            <w:pPr>
              <w:spacing w:before="120" w:after="120" w:line="288" w:lineRule="auto"/>
              <w:ind w:left="0"/>
              <w:jc w:val="left"/>
              <w:rPr>
                <w:b w:val="0"/>
                <w:color w:val="000000"/>
              </w:rPr>
            </w:pPr>
          </w:p>
        </w:tc>
      </w:tr>
      <w:tr w14:paraId="13EBBC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19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24D06F3">
            <w:pPr>
              <w:spacing w:before="120" w:after="120" w:line="288" w:lineRule="auto"/>
              <w:ind w:left="0"/>
              <w:jc w:val="left"/>
              <w:rPr>
                <w:b w:val="0"/>
                <w:color w:val="000000"/>
              </w:rPr>
            </w:pPr>
            <w:r>
              <w:rPr>
                <w:rFonts w:ascii="Arial" w:hAnsi="Arial" w:eastAsia="等线" w:cs="Arial"/>
                <w:b w:val="0"/>
                <w:color w:val="000000"/>
                <w:sz w:val="22"/>
              </w:rPr>
              <w:t>商务报价部分（30分）</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E490AD8">
            <w:pPr>
              <w:spacing w:before="120" w:after="120" w:line="288" w:lineRule="auto"/>
              <w:ind w:left="0"/>
              <w:jc w:val="left"/>
              <w:rPr>
                <w:b w:val="0"/>
                <w:color w:val="000000"/>
              </w:rPr>
            </w:pPr>
            <w:r>
              <w:rPr>
                <w:rFonts w:ascii="Arial" w:hAnsi="Arial" w:eastAsia="等线" w:cs="Arial"/>
                <w:b w:val="0"/>
                <w:color w:val="000000"/>
                <w:sz w:val="22"/>
              </w:rPr>
              <w:t>商务报价</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7E0B4976">
            <w:pPr>
              <w:spacing w:before="120" w:after="120" w:line="288" w:lineRule="auto"/>
              <w:ind w:left="0"/>
              <w:jc w:val="left"/>
              <w:rPr>
                <w:b w:val="0"/>
                <w:color w:val="000000"/>
              </w:rPr>
            </w:pPr>
            <w:r>
              <w:rPr>
                <w:rFonts w:ascii="Arial" w:hAnsi="Arial" w:eastAsia="等线" w:cs="Arial"/>
                <w:b w:val="0"/>
                <w:color w:val="000000"/>
                <w:sz w:val="22"/>
              </w:rPr>
              <w:t>0-30分</w:t>
            </w:r>
          </w:p>
        </w:tc>
        <w:tc>
          <w:tcPr>
            <w:tcW w:w="490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382C63F">
            <w:pPr>
              <w:spacing w:before="120" w:after="120" w:line="288" w:lineRule="auto"/>
              <w:ind w:left="0"/>
              <w:jc w:val="left"/>
              <w:rPr>
                <w:b w:val="0"/>
                <w:color w:val="000000"/>
              </w:rPr>
            </w:pPr>
            <w:r>
              <w:rPr>
                <w:rFonts w:ascii="Arial" w:hAnsi="Arial" w:eastAsia="等线" w:cs="Arial"/>
                <w:b w:val="0"/>
                <w:color w:val="000000"/>
                <w:sz w:val="22"/>
              </w:rPr>
              <w:t>1. 基准价设定：满足比选文件要求且比选价格最低的比选报价为基准价，其价格分为满分30分；2. 其他报价得分：比选报价得分=(评标基准价／比选报价)×价格权值（30分对应的权值为1）×100；3. 特殊情况：报价超出比选文件规定的最高限价，或报价不符合比选文件要求的，商务报价得0分。</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014C3D0">
            <w:pPr>
              <w:spacing w:before="120" w:after="120" w:line="288" w:lineRule="auto"/>
              <w:ind w:left="0"/>
              <w:jc w:val="left"/>
              <w:rPr>
                <w:b w:val="0"/>
                <w:color w:val="000000"/>
              </w:rPr>
            </w:pPr>
          </w:p>
        </w:tc>
      </w:tr>
    </w:tbl>
    <w:p w14:paraId="45130C81">
      <w:pPr>
        <w:keepNext w:val="0"/>
        <w:keepLines w:val="0"/>
        <w:pageBreakBefore w:val="0"/>
        <w:kinsoku/>
        <w:wordWrap/>
        <w:overflowPunct/>
        <w:topLinePunct w:val="0"/>
        <w:autoSpaceDE/>
        <w:autoSpaceDN/>
        <w:bidi w:val="0"/>
        <w:adjustRightInd/>
        <w:snapToGrid/>
        <w:spacing w:line="480" w:lineRule="auto"/>
        <w:textAlignment w:val="auto"/>
        <w:rPr>
          <w:rFonts w:hint="default" w:ascii="仿宋" w:hAnsi="仿宋" w:eastAsia="仿宋" w:cs="仿宋"/>
          <w:b/>
          <w:color w:val="auto"/>
          <w:sz w:val="28"/>
          <w:szCs w:val="28"/>
          <w:highlight w:val="none"/>
          <w:lang w:val="en-US" w:eastAsia="zh-CN"/>
        </w:rPr>
        <w:sectPr>
          <w:pgSz w:w="11906" w:h="16838"/>
          <w:pgMar w:top="1440" w:right="1417" w:bottom="1440" w:left="1701" w:header="851" w:footer="992" w:gutter="0"/>
          <w:cols w:space="425" w:num="1"/>
          <w:docGrid w:type="lines" w:linePitch="312" w:charSpace="0"/>
        </w:sectPr>
      </w:pPr>
    </w:p>
    <w:p w14:paraId="390879BB">
      <w:pPr>
        <w:tabs>
          <w:tab w:val="left" w:pos="3635"/>
        </w:tabs>
        <w:rPr>
          <w:rFonts w:hint="eastAsia" w:ascii="仿宋" w:hAnsi="仿宋" w:eastAsia="仿宋" w:cs="仿宋"/>
          <w:b/>
          <w:color w:val="auto"/>
          <w:sz w:val="28"/>
          <w:szCs w:val="28"/>
          <w:highlight w:val="none"/>
          <w:lang w:val="en-US" w:eastAsia="zh-CN"/>
        </w:rPr>
      </w:pPr>
    </w:p>
    <w:p w14:paraId="49ED9FED">
      <w:pPr>
        <w:keepNext w:val="0"/>
        <w:keepLines w:val="0"/>
        <w:pageBreakBefore w:val="0"/>
        <w:kinsoku/>
        <w:wordWrap/>
        <w:overflowPunct/>
        <w:topLinePunct w:val="0"/>
        <w:autoSpaceDE/>
        <w:autoSpaceDN/>
        <w:bidi w:val="0"/>
        <w:adjustRightInd/>
        <w:snapToGrid/>
        <w:spacing w:line="480" w:lineRule="auto"/>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参考报价汇总表</w:t>
      </w:r>
    </w:p>
    <w:p w14:paraId="7CB91155">
      <w:pPr>
        <w:tabs>
          <w:tab w:val="left" w:pos="3635"/>
        </w:tabs>
        <w:rPr>
          <w:rFonts w:hint="eastAsia" w:ascii="仿宋" w:hAnsi="仿宋" w:eastAsia="仿宋" w:cs="仿宋"/>
          <w:b/>
          <w:color w:val="auto"/>
          <w:sz w:val="28"/>
          <w:szCs w:val="28"/>
          <w:highlight w:val="none"/>
          <w:lang w:val="en-US" w:eastAsia="zh-CN"/>
        </w:rPr>
      </w:pPr>
    </w:p>
    <w:p w14:paraId="5EC2180B">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报价</w:t>
      </w:r>
      <w:r>
        <w:rPr>
          <w:rFonts w:hint="eastAsia" w:ascii="仿宋" w:hAnsi="仿宋" w:eastAsia="仿宋" w:cs="仿宋"/>
          <w:b/>
          <w:sz w:val="24"/>
          <w:szCs w:val="24"/>
          <w:lang w:val="en-US" w:eastAsia="zh-CN"/>
        </w:rPr>
        <w:t>汇总</w:t>
      </w:r>
      <w:r>
        <w:rPr>
          <w:rFonts w:hint="eastAsia" w:ascii="仿宋" w:hAnsi="仿宋" w:eastAsia="仿宋" w:cs="仿宋"/>
          <w:b/>
          <w:sz w:val="24"/>
          <w:szCs w:val="24"/>
        </w:rPr>
        <w:t>表</w:t>
      </w:r>
    </w:p>
    <w:p w14:paraId="5A2E18E2">
      <w:pPr>
        <w:tabs>
          <w:tab w:val="left" w:pos="3635"/>
        </w:tabs>
        <w:jc w:val="center"/>
        <w:rPr>
          <w:rFonts w:ascii="黑体" w:hAnsi="黑体" w:eastAsia="黑体" w:cs="黑体"/>
          <w:b/>
          <w:color w:val="auto"/>
          <w:sz w:val="24"/>
          <w:szCs w:val="24"/>
          <w:highlight w:val="none"/>
        </w:rPr>
      </w:pPr>
    </w:p>
    <w:tbl>
      <w:tblPr>
        <w:tblStyle w:val="9"/>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132"/>
        <w:gridCol w:w="1529"/>
        <w:gridCol w:w="1863"/>
      </w:tblGrid>
      <w:tr w14:paraId="35A4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190" w:type="dxa"/>
            <w:vAlign w:val="center"/>
          </w:tcPr>
          <w:p w14:paraId="062E31ED">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3132" w:type="dxa"/>
            <w:vAlign w:val="center"/>
          </w:tcPr>
          <w:p w14:paraId="31B0EFC4">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14:paraId="68EF2E7A">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%税，</w:t>
            </w:r>
            <w:r>
              <w:rPr>
                <w:rFonts w:hint="eastAsia" w:ascii="仿宋" w:hAnsi="仿宋" w:eastAsia="仿宋" w:cs="仿宋"/>
                <w:color w:val="auto"/>
                <w:sz w:val="24"/>
                <w:szCs w:val="24"/>
                <w:highlight w:val="none"/>
              </w:rPr>
              <w:t>万元）</w:t>
            </w:r>
          </w:p>
        </w:tc>
        <w:tc>
          <w:tcPr>
            <w:tcW w:w="1529" w:type="dxa"/>
            <w:vAlign w:val="center"/>
          </w:tcPr>
          <w:p w14:paraId="6BA88EED">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1863" w:type="dxa"/>
            <w:vAlign w:val="center"/>
          </w:tcPr>
          <w:p w14:paraId="553869EA">
            <w:pPr>
              <w:tabs>
                <w:tab w:val="left" w:pos="180"/>
                <w:tab w:val="left" w:pos="900"/>
              </w:tabs>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tc>
      </w:tr>
      <w:tr w14:paraId="2F3D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2190" w:type="dxa"/>
            <w:vAlign w:val="center"/>
          </w:tcPr>
          <w:p w14:paraId="34018B52">
            <w:pPr>
              <w:tabs>
                <w:tab w:val="left" w:pos="180"/>
                <w:tab w:val="left" w:pos="900"/>
              </w:tabs>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上海外国语大学虹口生活区物探测量</w:t>
            </w:r>
            <w:r>
              <w:rPr>
                <w:rFonts w:hint="eastAsia" w:ascii="仿宋" w:hAnsi="仿宋" w:eastAsia="仿宋" w:cs="仿宋"/>
                <w:color w:val="auto"/>
                <w:sz w:val="24"/>
                <w:szCs w:val="24"/>
                <w:highlight w:val="none"/>
                <w:lang w:eastAsia="zh-CN"/>
              </w:rPr>
              <w:t>服务</w:t>
            </w:r>
          </w:p>
        </w:tc>
        <w:tc>
          <w:tcPr>
            <w:tcW w:w="3132" w:type="dxa"/>
            <w:vAlign w:val="center"/>
          </w:tcPr>
          <w:p w14:paraId="716DDF17">
            <w:pPr>
              <w:tabs>
                <w:tab w:val="left" w:pos="180"/>
                <w:tab w:val="left" w:pos="900"/>
              </w:tabs>
              <w:spacing w:line="500" w:lineRule="exact"/>
              <w:jc w:val="center"/>
              <w:rPr>
                <w:rFonts w:hint="eastAsia" w:ascii="仿宋" w:hAnsi="仿宋" w:eastAsia="仿宋" w:cs="仿宋"/>
                <w:color w:val="auto"/>
                <w:sz w:val="24"/>
                <w:szCs w:val="24"/>
                <w:highlight w:val="none"/>
              </w:rPr>
            </w:pPr>
            <w:bookmarkStart w:id="0" w:name="_GoBack"/>
            <w:bookmarkEnd w:id="0"/>
          </w:p>
        </w:tc>
        <w:tc>
          <w:tcPr>
            <w:tcW w:w="1529" w:type="dxa"/>
            <w:vAlign w:val="center"/>
          </w:tcPr>
          <w:p w14:paraId="18B03E41">
            <w:pPr>
              <w:tabs>
                <w:tab w:val="left" w:pos="180"/>
                <w:tab w:val="left" w:pos="900"/>
              </w:tabs>
              <w:spacing w:line="500" w:lineRule="exact"/>
              <w:jc w:val="center"/>
              <w:rPr>
                <w:rFonts w:ascii="宋体" w:hAnsi="宋体"/>
                <w:color w:val="auto"/>
                <w:sz w:val="24"/>
                <w:szCs w:val="24"/>
                <w:highlight w:val="none"/>
              </w:rPr>
            </w:pPr>
          </w:p>
        </w:tc>
        <w:tc>
          <w:tcPr>
            <w:tcW w:w="1863" w:type="dxa"/>
            <w:vAlign w:val="center"/>
          </w:tcPr>
          <w:p w14:paraId="5FBD6692">
            <w:pPr>
              <w:tabs>
                <w:tab w:val="left" w:pos="180"/>
                <w:tab w:val="left" w:pos="900"/>
              </w:tabs>
              <w:spacing w:line="500" w:lineRule="exact"/>
              <w:jc w:val="center"/>
              <w:rPr>
                <w:rFonts w:ascii="宋体" w:hAnsi="宋体"/>
                <w:color w:val="auto"/>
                <w:sz w:val="24"/>
                <w:szCs w:val="24"/>
                <w:highlight w:val="none"/>
              </w:rPr>
            </w:pPr>
          </w:p>
        </w:tc>
      </w:tr>
    </w:tbl>
    <w:p w14:paraId="5EF7EED3">
      <w:pPr>
        <w:spacing w:line="480" w:lineRule="auto"/>
        <w:rPr>
          <w:rFonts w:ascii="仿宋" w:hAnsi="仿宋" w:eastAsia="仿宋" w:cs="仿宋"/>
          <w:color w:val="auto"/>
          <w:sz w:val="24"/>
          <w:szCs w:val="24"/>
          <w:highlight w:val="none"/>
        </w:rPr>
      </w:pPr>
    </w:p>
    <w:p w14:paraId="7C8F9B8A">
      <w:p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B747BE1">
      <w:pPr>
        <w:numPr>
          <w:ilvl w:val="0"/>
          <w:numId w:val="1"/>
        </w:num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以上报价为含税价。响应单位应充分考虑该项目应该发生但未明确的所有一切相关的报价风险；</w:t>
      </w:r>
    </w:p>
    <w:p w14:paraId="1FF25DB6">
      <w:pPr>
        <w:numPr>
          <w:ilvl w:val="0"/>
          <w:numId w:val="1"/>
        </w:numPr>
        <w:spacing w:line="48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收费标准：《工程勘察设计收费管理规定》（计价格[2002]10号）。</w:t>
      </w:r>
    </w:p>
    <w:p w14:paraId="63B51AFC">
      <w:pPr>
        <w:tabs>
          <w:tab w:val="left" w:pos="3635"/>
        </w:tabs>
        <w:spacing w:line="360" w:lineRule="auto"/>
        <w:rPr>
          <w:rFonts w:ascii="仿宋" w:hAnsi="仿宋" w:eastAsia="仿宋" w:cs="仿宋"/>
          <w:bCs/>
          <w:color w:val="auto"/>
          <w:sz w:val="24"/>
          <w:szCs w:val="24"/>
          <w:highlight w:val="none"/>
        </w:rPr>
      </w:pPr>
    </w:p>
    <w:p w14:paraId="21FA82F3">
      <w:pPr>
        <w:tabs>
          <w:tab w:val="left" w:pos="3635"/>
        </w:tabs>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企业名称</w:t>
      </w:r>
      <w:r>
        <w:rPr>
          <w:rFonts w:hint="eastAsia" w:ascii="仿宋" w:hAnsi="仿宋" w:eastAsia="仿宋" w:cs="仿宋"/>
          <w:color w:val="auto"/>
          <w:sz w:val="24"/>
          <w:szCs w:val="24"/>
          <w:highlight w:val="none"/>
        </w:rPr>
        <w:t>（盖章）：</w:t>
      </w:r>
    </w:p>
    <w:p w14:paraId="70F374DC">
      <w:pPr>
        <w:tabs>
          <w:tab w:val="left" w:pos="360"/>
          <w:tab w:val="left" w:pos="1800"/>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法定代表人或授权代理人：（签字或盖章）</w:t>
      </w:r>
    </w:p>
    <w:p w14:paraId="522FCA5E">
      <w:pPr>
        <w:tabs>
          <w:tab w:val="left" w:pos="360"/>
          <w:tab w:val="left" w:pos="1800"/>
        </w:tabs>
        <w:spacing w:line="360" w:lineRule="auto"/>
        <w:jc w:val="left"/>
        <w:rPr>
          <w:rFonts w:hint="eastAsia" w:ascii="仿宋" w:hAnsi="仿宋" w:eastAsia="仿宋" w:cs="仿宋"/>
          <w:color w:val="auto"/>
          <w:sz w:val="24"/>
          <w:szCs w:val="24"/>
          <w:highlight w:val="none"/>
        </w:rPr>
      </w:pPr>
    </w:p>
    <w:p w14:paraId="030DF8E5">
      <w:pPr>
        <w:tabs>
          <w:tab w:val="left" w:pos="360"/>
          <w:tab w:val="left" w:pos="1800"/>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5E59672">
      <w:pPr>
        <w:tabs>
          <w:tab w:val="left" w:pos="360"/>
          <w:tab w:val="left" w:pos="1800"/>
        </w:tabs>
        <w:spacing w:line="360" w:lineRule="auto"/>
        <w:jc w:val="left"/>
        <w:rPr>
          <w:rFonts w:hint="eastAsia" w:ascii="仿宋" w:hAnsi="仿宋" w:eastAsia="仿宋" w:cs="仿宋"/>
          <w:color w:val="auto"/>
          <w:sz w:val="24"/>
          <w:szCs w:val="24"/>
          <w:highlight w:val="none"/>
        </w:rPr>
      </w:pPr>
    </w:p>
    <w:p w14:paraId="20B1E51A">
      <w:pPr>
        <w:tabs>
          <w:tab w:val="left" w:pos="360"/>
          <w:tab w:val="left" w:pos="1800"/>
        </w:tabs>
        <w:spacing w:line="360" w:lineRule="auto"/>
        <w:jc w:val="left"/>
        <w:rPr>
          <w:rFonts w:hint="eastAsia" w:ascii="仿宋" w:hAnsi="仿宋" w:eastAsia="仿宋" w:cs="仿宋"/>
          <w:color w:val="auto"/>
          <w:sz w:val="24"/>
          <w:szCs w:val="24"/>
          <w:highlight w:val="none"/>
        </w:rPr>
      </w:pPr>
    </w:p>
    <w:p w14:paraId="1D560D30">
      <w:pPr>
        <w:tabs>
          <w:tab w:val="left" w:pos="360"/>
          <w:tab w:val="left" w:pos="1800"/>
        </w:tabs>
        <w:spacing w:line="360" w:lineRule="auto"/>
        <w:jc w:val="left"/>
        <w:rPr>
          <w:rFonts w:hint="eastAsia" w:ascii="仿宋" w:hAnsi="仿宋" w:eastAsia="仿宋" w:cs="仿宋"/>
          <w:color w:val="auto"/>
          <w:sz w:val="28"/>
          <w:szCs w:val="28"/>
          <w:highlight w:val="none"/>
        </w:rPr>
      </w:pPr>
    </w:p>
    <w:p w14:paraId="0B78725A">
      <w:pPr>
        <w:tabs>
          <w:tab w:val="left" w:pos="360"/>
          <w:tab w:val="left" w:pos="1800"/>
        </w:tabs>
        <w:spacing w:line="360" w:lineRule="auto"/>
        <w:jc w:val="left"/>
        <w:rPr>
          <w:rFonts w:hint="eastAsia" w:ascii="仿宋" w:hAnsi="仿宋" w:eastAsia="仿宋" w:cs="仿宋"/>
          <w:color w:val="auto"/>
          <w:sz w:val="28"/>
          <w:szCs w:val="28"/>
          <w:highlight w:val="none"/>
          <w:lang w:eastAsia="zh-CN"/>
        </w:rPr>
      </w:pPr>
    </w:p>
    <w:sectPr>
      <w:pgSz w:w="11906" w:h="16838"/>
      <w:pgMar w:top="1440" w:right="141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ECB89"/>
    <w:multiLevelType w:val="singleLevel"/>
    <w:tmpl w:val="1B2ECB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MmRhOTI5YmVhODVkNDMzMzY2MzExMjYzNDZiMjEifQ=="/>
  </w:docVars>
  <w:rsids>
    <w:rsidRoot w:val="22F41EBD"/>
    <w:rsid w:val="000B4299"/>
    <w:rsid w:val="00103372"/>
    <w:rsid w:val="00796CEB"/>
    <w:rsid w:val="008A5DB5"/>
    <w:rsid w:val="00B96D1F"/>
    <w:rsid w:val="00BF087D"/>
    <w:rsid w:val="00EB5364"/>
    <w:rsid w:val="00FB04F8"/>
    <w:rsid w:val="021951FF"/>
    <w:rsid w:val="026D1798"/>
    <w:rsid w:val="04571245"/>
    <w:rsid w:val="04E50E38"/>
    <w:rsid w:val="058555D0"/>
    <w:rsid w:val="05FD43A7"/>
    <w:rsid w:val="065B24F1"/>
    <w:rsid w:val="07CD7244"/>
    <w:rsid w:val="080B6E91"/>
    <w:rsid w:val="081D1B91"/>
    <w:rsid w:val="084F3DA9"/>
    <w:rsid w:val="08EA6BC0"/>
    <w:rsid w:val="09073ED6"/>
    <w:rsid w:val="092A5D31"/>
    <w:rsid w:val="0A131D75"/>
    <w:rsid w:val="0A1C4496"/>
    <w:rsid w:val="0BC53062"/>
    <w:rsid w:val="0CF25C86"/>
    <w:rsid w:val="0D953752"/>
    <w:rsid w:val="0DD5693F"/>
    <w:rsid w:val="0DF91DEB"/>
    <w:rsid w:val="0E273B7B"/>
    <w:rsid w:val="0FEC3C8D"/>
    <w:rsid w:val="118772FA"/>
    <w:rsid w:val="11AE3711"/>
    <w:rsid w:val="11EF6045"/>
    <w:rsid w:val="122C6AE7"/>
    <w:rsid w:val="12566313"/>
    <w:rsid w:val="129C50BC"/>
    <w:rsid w:val="134F7E3B"/>
    <w:rsid w:val="13AC40AF"/>
    <w:rsid w:val="14423DE3"/>
    <w:rsid w:val="146F566B"/>
    <w:rsid w:val="147F5A74"/>
    <w:rsid w:val="14E73A34"/>
    <w:rsid w:val="15E4017C"/>
    <w:rsid w:val="16C60ACA"/>
    <w:rsid w:val="17330723"/>
    <w:rsid w:val="183E2AFB"/>
    <w:rsid w:val="18F9417D"/>
    <w:rsid w:val="18FE6F28"/>
    <w:rsid w:val="19095C10"/>
    <w:rsid w:val="19201EF1"/>
    <w:rsid w:val="196F7279"/>
    <w:rsid w:val="1C493CE1"/>
    <w:rsid w:val="1CFF4EF6"/>
    <w:rsid w:val="1D3C3AC6"/>
    <w:rsid w:val="1DA8434C"/>
    <w:rsid w:val="1DF62FBF"/>
    <w:rsid w:val="1E162C95"/>
    <w:rsid w:val="1E2A0F8E"/>
    <w:rsid w:val="1E8F5078"/>
    <w:rsid w:val="1EF4720D"/>
    <w:rsid w:val="1F446D63"/>
    <w:rsid w:val="1F584EA0"/>
    <w:rsid w:val="1F6F0EB8"/>
    <w:rsid w:val="1F9C5A4F"/>
    <w:rsid w:val="1FB23EEB"/>
    <w:rsid w:val="204C1012"/>
    <w:rsid w:val="206375BB"/>
    <w:rsid w:val="21522D9E"/>
    <w:rsid w:val="225A6515"/>
    <w:rsid w:val="22CC31F6"/>
    <w:rsid w:val="22F41EBD"/>
    <w:rsid w:val="23AB5C46"/>
    <w:rsid w:val="23DE2F8B"/>
    <w:rsid w:val="24606DD4"/>
    <w:rsid w:val="25F120E5"/>
    <w:rsid w:val="261861D7"/>
    <w:rsid w:val="26AA0F21"/>
    <w:rsid w:val="2745797B"/>
    <w:rsid w:val="2772632E"/>
    <w:rsid w:val="27B7209B"/>
    <w:rsid w:val="27BC7018"/>
    <w:rsid w:val="27C72B81"/>
    <w:rsid w:val="28316438"/>
    <w:rsid w:val="285E6FE6"/>
    <w:rsid w:val="28E56092"/>
    <w:rsid w:val="28FB2A69"/>
    <w:rsid w:val="297548B8"/>
    <w:rsid w:val="2AD93BEA"/>
    <w:rsid w:val="2B1C0A93"/>
    <w:rsid w:val="2C230BD1"/>
    <w:rsid w:val="2CF665E8"/>
    <w:rsid w:val="2D9F2369"/>
    <w:rsid w:val="2E681DB2"/>
    <w:rsid w:val="30767804"/>
    <w:rsid w:val="30A60169"/>
    <w:rsid w:val="30AF64B9"/>
    <w:rsid w:val="328B3C3F"/>
    <w:rsid w:val="33257724"/>
    <w:rsid w:val="3439515E"/>
    <w:rsid w:val="34CA0B85"/>
    <w:rsid w:val="35233E25"/>
    <w:rsid w:val="35A40350"/>
    <w:rsid w:val="361B4C54"/>
    <w:rsid w:val="363B3111"/>
    <w:rsid w:val="368B60F2"/>
    <w:rsid w:val="36C83492"/>
    <w:rsid w:val="36DA02CC"/>
    <w:rsid w:val="380D62A6"/>
    <w:rsid w:val="389E342F"/>
    <w:rsid w:val="38E35FF9"/>
    <w:rsid w:val="39217FC8"/>
    <w:rsid w:val="3AE66DAF"/>
    <w:rsid w:val="3B0904BC"/>
    <w:rsid w:val="3C1679CE"/>
    <w:rsid w:val="3C8A16DC"/>
    <w:rsid w:val="3D4959E5"/>
    <w:rsid w:val="3DDA28A3"/>
    <w:rsid w:val="3E8E30CD"/>
    <w:rsid w:val="3EA03A5D"/>
    <w:rsid w:val="3EA57B03"/>
    <w:rsid w:val="3EF93653"/>
    <w:rsid w:val="3FAF3F15"/>
    <w:rsid w:val="40035565"/>
    <w:rsid w:val="40DD3E4C"/>
    <w:rsid w:val="40EF68DB"/>
    <w:rsid w:val="41197AF6"/>
    <w:rsid w:val="4462415E"/>
    <w:rsid w:val="44764A00"/>
    <w:rsid w:val="44B712C8"/>
    <w:rsid w:val="44D74E3F"/>
    <w:rsid w:val="45090720"/>
    <w:rsid w:val="463E2F54"/>
    <w:rsid w:val="46E240AB"/>
    <w:rsid w:val="47B934C2"/>
    <w:rsid w:val="47FF482F"/>
    <w:rsid w:val="48220D44"/>
    <w:rsid w:val="48484E52"/>
    <w:rsid w:val="48525B7B"/>
    <w:rsid w:val="493F75A9"/>
    <w:rsid w:val="4A026F00"/>
    <w:rsid w:val="4AAF2E7F"/>
    <w:rsid w:val="4B073178"/>
    <w:rsid w:val="4B6A3AFE"/>
    <w:rsid w:val="4BD801E1"/>
    <w:rsid w:val="4CE26286"/>
    <w:rsid w:val="4E053596"/>
    <w:rsid w:val="4EBA4325"/>
    <w:rsid w:val="4FB46852"/>
    <w:rsid w:val="503D18E6"/>
    <w:rsid w:val="509E3377"/>
    <w:rsid w:val="50C00363"/>
    <w:rsid w:val="50E772C9"/>
    <w:rsid w:val="51E67F9B"/>
    <w:rsid w:val="52634C5D"/>
    <w:rsid w:val="52D44D5D"/>
    <w:rsid w:val="53191BD8"/>
    <w:rsid w:val="53980D4F"/>
    <w:rsid w:val="5453664B"/>
    <w:rsid w:val="549A4653"/>
    <w:rsid w:val="54BA25CA"/>
    <w:rsid w:val="553B6A94"/>
    <w:rsid w:val="555D123A"/>
    <w:rsid w:val="556F0359"/>
    <w:rsid w:val="565F579E"/>
    <w:rsid w:val="569057FA"/>
    <w:rsid w:val="579009BF"/>
    <w:rsid w:val="57DB6436"/>
    <w:rsid w:val="590D68D6"/>
    <w:rsid w:val="5A0F4239"/>
    <w:rsid w:val="5B281318"/>
    <w:rsid w:val="5BA12D78"/>
    <w:rsid w:val="5BE147F0"/>
    <w:rsid w:val="5E084C99"/>
    <w:rsid w:val="5FE33E9F"/>
    <w:rsid w:val="60670A96"/>
    <w:rsid w:val="60704079"/>
    <w:rsid w:val="6094663E"/>
    <w:rsid w:val="60B4432C"/>
    <w:rsid w:val="61F31ED1"/>
    <w:rsid w:val="620861DD"/>
    <w:rsid w:val="63005CEF"/>
    <w:rsid w:val="641937E6"/>
    <w:rsid w:val="64B823E5"/>
    <w:rsid w:val="65273A87"/>
    <w:rsid w:val="654E3963"/>
    <w:rsid w:val="6554490D"/>
    <w:rsid w:val="65987384"/>
    <w:rsid w:val="659E1372"/>
    <w:rsid w:val="65BD07B3"/>
    <w:rsid w:val="66696302"/>
    <w:rsid w:val="67136C12"/>
    <w:rsid w:val="67A46AE1"/>
    <w:rsid w:val="68AA7DDC"/>
    <w:rsid w:val="69896687"/>
    <w:rsid w:val="69F87F8C"/>
    <w:rsid w:val="6ABF6172"/>
    <w:rsid w:val="6AE073D8"/>
    <w:rsid w:val="6AF32618"/>
    <w:rsid w:val="6BFD1C3F"/>
    <w:rsid w:val="6D9B673A"/>
    <w:rsid w:val="6E353907"/>
    <w:rsid w:val="6E423B30"/>
    <w:rsid w:val="6E5F1847"/>
    <w:rsid w:val="6F7317C8"/>
    <w:rsid w:val="6FA1522E"/>
    <w:rsid w:val="7134404F"/>
    <w:rsid w:val="716A5D27"/>
    <w:rsid w:val="738B202D"/>
    <w:rsid w:val="7585637E"/>
    <w:rsid w:val="75DB0375"/>
    <w:rsid w:val="761C66DE"/>
    <w:rsid w:val="76A827A7"/>
    <w:rsid w:val="76E25CB9"/>
    <w:rsid w:val="779A73D7"/>
    <w:rsid w:val="77D457E8"/>
    <w:rsid w:val="780178D9"/>
    <w:rsid w:val="791600A4"/>
    <w:rsid w:val="79D95BF8"/>
    <w:rsid w:val="7A2F3D9D"/>
    <w:rsid w:val="7A49752C"/>
    <w:rsid w:val="7ADF4876"/>
    <w:rsid w:val="7AE40F28"/>
    <w:rsid w:val="7BD661D8"/>
    <w:rsid w:val="7CB136B6"/>
    <w:rsid w:val="7DC6427E"/>
    <w:rsid w:val="7FB4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eastAsia="楷体_GB2312"/>
      <w:b/>
      <w:bCs/>
      <w:sz w:val="24"/>
    </w:rPr>
  </w:style>
  <w:style w:type="paragraph" w:styleId="3">
    <w:name w:val="Body Text Indent"/>
    <w:basedOn w:val="1"/>
    <w:qFormat/>
    <w:uiPriority w:val="0"/>
    <w:pPr>
      <w:adjustRightInd w:val="0"/>
      <w:spacing w:line="360" w:lineRule="atLeast"/>
      <w:ind w:left="720" w:hanging="295"/>
      <w:jc w:val="left"/>
      <w:textAlignment w:val="baseline"/>
    </w:pPr>
    <w:rPr>
      <w:kern w:val="0"/>
      <w:sz w:val="24"/>
      <w:szCs w:val="20"/>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line="480" w:lineRule="auto"/>
    </w:pPr>
  </w:style>
  <w:style w:type="paragraph" w:styleId="7">
    <w:name w:val="Title"/>
    <w:basedOn w:val="1"/>
    <w:qFormat/>
    <w:uiPriority w:val="10"/>
    <w:pPr>
      <w:spacing w:before="240" w:after="60"/>
      <w:jc w:val="center"/>
      <w:outlineLvl w:val="0"/>
    </w:pPr>
    <w:rPr>
      <w:rFonts w:ascii="Cambria" w:hAnsi="Cambria" w:cs="Times New Roman"/>
      <w:b/>
      <w:bCs/>
      <w:sz w:val="32"/>
      <w:szCs w:val="32"/>
    </w:rPr>
  </w:style>
  <w:style w:type="paragraph" w:styleId="8">
    <w:name w:val="Body Text First Indent 2"/>
    <w:basedOn w:val="3"/>
    <w:unhideWhenUsed/>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Table Paragraph"/>
    <w:basedOn w:val="1"/>
    <w:autoRedefine/>
    <w:qFormat/>
    <w:uiPriority w:val="1"/>
    <w:pPr>
      <w:ind w:left="479"/>
    </w:pPr>
    <w:rPr>
      <w:rFonts w:ascii="宋体" w:hAnsi="宋体" w:eastAsia="宋体" w:cs="宋体"/>
      <w:lang w:val="zh-CN" w:bidi="zh-CN"/>
    </w:rPr>
  </w:style>
  <w:style w:type="paragraph" w:styleId="15">
    <w:name w:val="List Paragraph"/>
    <w:basedOn w:val="1"/>
    <w:qFormat/>
    <w:uiPriority w:val="34"/>
    <w:pPr>
      <w:ind w:firstLine="420" w:firstLineChars="200"/>
    </w:pPr>
  </w:style>
  <w:style w:type="character" w:customStyle="1" w:styleId="16">
    <w:name w:val="页脚 字符"/>
    <w:basedOn w:val="11"/>
    <w:link w:val="4"/>
    <w:qFormat/>
    <w:uiPriority w:val="0"/>
    <w:rPr>
      <w:rFonts w:asciiTheme="minorHAnsi" w:hAnsiTheme="minorHAnsi" w:eastAsiaTheme="minorEastAsia" w:cstheme="minorBidi"/>
      <w:kern w:val="2"/>
      <w:sz w:val="18"/>
      <w:szCs w:val="18"/>
    </w:rPr>
  </w:style>
  <w:style w:type="character" w:customStyle="1" w:styleId="17">
    <w:name w:val="样式 正文文本 + 新宋体 小四 黑色 Char"/>
    <w:link w:val="18"/>
    <w:qFormat/>
    <w:uiPriority w:val="0"/>
    <w:rPr>
      <w:rFonts w:ascii="新宋体" w:hAnsi="新宋体" w:eastAsia="宋体"/>
      <w:color w:val="000000"/>
      <w:sz w:val="21"/>
      <w:szCs w:val="24"/>
    </w:rPr>
  </w:style>
  <w:style w:type="paragraph" w:customStyle="1" w:styleId="18">
    <w:name w:val="样式 正文文本 + 新宋体 小四 黑色"/>
    <w:basedOn w:val="2"/>
    <w:link w:val="17"/>
    <w:qFormat/>
    <w:uiPriority w:val="0"/>
    <w:pPr>
      <w:spacing w:after="120"/>
    </w:pPr>
    <w:rPr>
      <w:rFonts w:ascii="新宋体" w:hAnsi="新宋体" w:eastAsia="宋体"/>
      <w:b w:val="0"/>
      <w:bCs w:val="0"/>
      <w:color w:val="000000"/>
      <w:sz w:val="21"/>
      <w:szCs w:val="24"/>
    </w:rPr>
  </w:style>
  <w:style w:type="paragraph" w:customStyle="1" w:styleId="19">
    <w:name w:val="列出段落2"/>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1932</Words>
  <Characters>2076</Characters>
  <Lines>10</Lines>
  <Paragraphs>3</Paragraphs>
  <TotalTime>31</TotalTime>
  <ScaleCrop>false</ScaleCrop>
  <LinksUpToDate>false</LinksUpToDate>
  <CharactersWithSpaces>2095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2024-05-06T06:18:00Z</dcterms:created>
  <dc:creator>Reverend</dc:creator>
  <cp:lastModifiedBy>神奇的office</cp:lastModifiedBy>
  <cp:lastPrinted>2025-10-29T03:01:00Z</cp:lastPrinted>
  <dcterms:modified xsi:type="dcterms:W3CDTF">2026-01-23T02:51:09Z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425E2EB0A9CE4AFA8B9EA5D6A539B03D_13</vt:lpwstr>
  </property>
  <property fmtid="{D5CDD505-2E9C-101B-9397-08002B2CF9AE}" pid="4" name="KSOTemplateDocerSaveRecord">
    <vt:lpwstr>eyJoZGlkIjoiZTExNWZmM2FmNTcxZDBhOGUzZDMxZjcyMDJhMTQ5MWIiLCJ1c2VySWQiOiIyOTQ2ODk2MjkifQ==</vt:lpwstr>
  </property>
</Properties>
</file>